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46</w:t>
      </w:r>
    </w:p>
    <w:p>
      <w:r>
        <w:t>Bundesgericht (BGE), 1981-08-19, DE</w:t>
      </w:r>
    </w:p>
    <w:p>
      <w:r>
        <w:rPr>
          <w:b/>
        </w:rPr>
        <w:t xml:space="preserve">Quelle: </w:t>
      </w:r>
      <w:r>
        <w:t>https://mcp.opencaselaw.ch/entscheid/bge_108 III 46</w:t>
      </w:r>
    </w:p>
    <w:p>
      <w:r>
        <w:t>FR: ATF 108 III 46</w:t>
      </w:r>
    </w:p>
    <w:p>
      <w:r>
        <w:t>IT: DTF 108 III 46</w:t>
      </w:r>
    </w:p>
    <w:p>
      <w:pPr>
        <w:pStyle w:val="Heading2"/>
      </w:pPr>
      <w:r>
        <w:t>Regeste</w:t>
      </w:r>
    </w:p>
    <w:p>
      <w:r>
        <w:t>Regeste Eintragung eines Eigentumsvorbehaltes auf einseitiges Ersuchen einer Vertragspartei; Ausweis für das Einverständnis der andern Partei (Art. 4 Abs. 4 EigVV).</w:t>
      </w:r>
    </w:p>
    <w:p>
      <w:pPr>
        <w:pStyle w:val="Heading2"/>
      </w:pPr>
      <w:r>
        <w:t>Erwägungen</w:t>
      </w:r>
    </w:p>
    <w:p>
      <w:r>
        <w:rPr>
          <w:b/>
        </w:rPr>
        <w:t>E. 1</w:t>
      </w:r>
    </w:p>
    <w:p>
      <w:r>
        <w:t>Wird die Eintragung eines Eigentumsvorbehaltes einseitig von einer Partei verlangt, so ist die Anmeldung nur dann zu berücksichtigen, wenn gleichzeitig das schriftliche Einverständnis der andern Partei, und zwar in allen für die Eintragung wesentlichen Punkten, beigebracht wird. Diese Erklärung (Kaufvertrag usw.) ist im Original oder in beglaubigter Wiedergabe zu den Akten des Amtes einzureichen (Art. 4 Abs. 4 der Verordnung vom 19. Dezember 1910 betreffend die Eintragung der Eigentumsvorbehalte; EigVV). Die Registerbehörden - denen es nicht zusteht, materiellrechtliche Streitpunkte zu beurteilen - haben sich an den Wortlaut der ihnen unterbreiteten Ausweise zu halten. Ergibt sich daraus nicht ausdrücklich und einwandfrei, dass der Erwerber einem Eigentumsvorbehalt des Veräusserers zugestimmt hat, ist die Eintragung ohne weiteres abzulehnen (vgl. BGE 60 III 171 ).</w:t>
      </w:r>
    </w:p>
    <w:p>
      <w:r>
        <w:rPr>
          <w:b/>
        </w:rPr>
        <w:t>E. 2</w:t>
      </w:r>
    </w:p>
    <w:p>
      <w:r>
        <w:t>Einen Ausweis für das Einverständnis der Fixit Jakob Keller AG (im Nachlass) zur Eintragung der Eigentumsvorbehalte im Sinne von Art. 4 Abs. 4 EigVV erblickt die Rekurrentin in ihren Auftragsbestätigungen mit den auf der Rückseite abgedruckten Allgemeinen Verkaufs- und Lieferbedingungen sowie im Schreiben der Käuferin vom 14. Februar 1981. Fest steht, dass diese die Auftragsbestätigungen nicht unterzeichnet hat. Was das Schreiben vom 14. Februar 1981 betrifft, so hat die Fixit Jakob Keller AG darin die Rekurrentin wissen lassen, dass sie die in der Auftragsbestätigung Nr. 4'907'548 vom 27. Januar 1981 auf 12% angesetzten BGE 108 III 46 S. 48 Verzugszinsen nicht akzeptieren könne. Daraus hat die Vorinstanz mit der unteren Aufsichtsbehörde und der Rekurrentin geschlossen, dass die Käuferin den übrigen Lieferbedingungen, namentlich auch den auf der Rückseite der erwähnten Auftragsbestätigung abgedruckten Allgemeinen Verkaufs- und Lieferbedingungen (mit dem in Ziff. 8 ausbedungenen Eigentumsvorbehalt), zugestimmt habe. Ob diese Auffassung richtig sei, braucht hier nicht erörtert zu werden, erhellt doch aus dem Gesagten, dass sie auf der Auslegung verschiedener Schriftstücke beruht. Lag aber kein ausdrückliches schriftliches Einverständnis der Käuferin im Sinne von Art. 4 Abs. 4 EigVV vor, hätte das Betreibungsamt die Eintragungen von vornherein ablehnen müssen. Der Rekurs erweist sich schon deshalb als unbegründet. Damit wird die Frage des Datums der Eintragungen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